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19" w:rsidRPr="008B5419" w:rsidRDefault="008B5419" w:rsidP="008B5419">
      <w:pPr>
        <w:spacing w:before="75"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146114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146114"/>
          <w:sz w:val="24"/>
          <w:szCs w:val="24"/>
          <w:lang w:eastAsia="ru-RU"/>
        </w:rPr>
        <w:t>МАТЕРИАЛЬНО ТЕХНИЧЕСКОЕ ОБЕСПЕЧЕНИЕ И ОСНАЩЕННОСТЬ ОБРАЗОВАТЕЛЬНОГО ПРОЦЕССА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О наличии оборудованных учебных кабинетов: Музыкальный зал, совмещенный со спортивным.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МУЗЫКАЛЬНЫЙ ЗАЛ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Оснащен аппаратурой: 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музыкальный центр – </w:t>
      </w:r>
      <w:r w:rsidR="00990CC8" w:rsidRP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1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шт., телевизор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; дет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скими инструментами (металлофон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барабаны, трещотки, шумовые инструмент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ы, бубны)</w:t>
      </w:r>
      <w:proofErr w:type="gramStart"/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.</w:t>
      </w:r>
      <w:proofErr w:type="gramEnd"/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 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м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узыкально-дидактические игры и пособия. Для развития музыкальных способностей детей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имеются атрибуты: маски, флажки.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СПОРТИВНЫЙ ЗАЛ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Оснащён о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борудованием:  скамейки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мелкий спортивный инвентарь: кегли, скакалки, мяч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и разного размера и фактуры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, 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обручи, </w:t>
      </w:r>
      <w:proofErr w:type="spellStart"/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кольцебросы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.  В групповых ячейках, в доступных для детей местах, оформлены спортивные уголки, для  укрепления и развития физического здоровья детей.  На территории детского сада  групповые участки оснащенные малыми формам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и и спортивным оборудованием: 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баскетбольный щит.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Сведения о  наличии оборудованных кабинетов: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1330"/>
        <w:gridCol w:w="5968"/>
      </w:tblGrid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Название помещения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Количество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Назначение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Кабинет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заведующего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Индивидуальные консультации, беседы с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педагогическим,обслуживающим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персоналом и родителями.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Музыкальный зал совмещен со спортивным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Утренняя гимнастика, праздники, досуги, занятия, индивидуальная работа.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Физкультурные занятия, спортивные праздники, досуги.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Групповые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образовательная работа: игры, занятия, детское творчество, развлечения, развитие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сенсорики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самостоятельная деятельность детей и т.д.</w:t>
            </w:r>
          </w:p>
        </w:tc>
      </w:tr>
    </w:tbl>
    <w:p w:rsidR="008B5419" w:rsidRPr="008B5419" w:rsidRDefault="008B5419" w:rsidP="00990CC8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В детском саду </w:t>
      </w:r>
      <w:r w:rsidR="00990CC8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2</w:t>
      </w: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 xml:space="preserve"> групповых комнаты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(2 групп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ы на 1 этаже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). Группы полностью оснащены детской мебелью в соответствии с возрастом детей и требованиям СанПиН. Оснащение развивающей предметно-пространственной среды соответствует возрасту детей и ФГОС ДО.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Особенности организации развивающей предметно-пространственной среды.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 Для  реализации в полном объеме Образовательной  Программы в ДОУ создается содержательно – насыщенная, мобильная, вариативная, доступная и безопасная  предметно – пространственная развивающая среда, направленная на потребности ребенка в игровой, познавательно – исследовательской, экспериментальной   деятельности, общении 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со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взрослыми и сверстниками, самопознании.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7111"/>
      </w:tblGrid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Виды материалов и оборудования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оснащены:  оборудованием для развития речи и подготовки ребенка к освоению чтения и письма, настольно-печатными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играми, ребусами, шнуровками, иллюстративным материалом, а также разного рода мозаиками для развития мелкой моторики рук, методическим материалом: пособиями, картотеками артикуляционной гимнастики, картотеками речевых игр. В подготовительной группе  наборами букв, играми по обучению грамоте-звуковой алфавит.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социально – коммуникативного, личностного  развития оснащены наборами мягкой мебели, сюжетно-ролевыми играми, которые  оснащены атрибутами к сюжетно-ролевым играм в соответствии с возрастом и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полоролевыми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потребностями детей.  </w:t>
            </w:r>
            <w:proofErr w:type="gram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Имеются в наличии:  для мальчиков: модели транспорта разных видов, цветов и размеров, сборные модели транспорта, фигурки людей и животных, военная техника, макеты: «военная база», «дикие и домашние животные» в соответствии с интересами детей; для девочек: куклы и комплекты одежды для девочек, наборы игрушечной мебели и посуды, игровые наборы,  предметы быта, книги.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Игровое оборудование для ряженья. Разные виды детских театров. Элементы карнавальных костюмов. 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Художественно –эстетическое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Зоны изобразительной и продуктивной деятельности оснащены различными средствами изобразительной деятельности: кистями, красками (гуашь,</w:t>
            </w:r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акварель), мелками (восковыми, школьными), фломастерами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клеем, бумагой,  картоном, пластилином, оборудованием для</w:t>
            </w:r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лепки и аппликации, ножницами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  тематическими книгами,  иллюстрациями,  буклетами по видам народной росписи, продуктами детского творчества, шаблонами, дидактическими играми.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группах организуются выставки детских работ, в том числе авторских.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конструктивных игр. В группах, в соответствии с возрастными особенностями детей,  имеется от 4 до 10 видов конструкторов: в том числе -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– роботы. Строительные наборы (дерево)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Конструкторы, деревянные и пластмассовые,  с разными способами крепления деталей, силуэты, картинки, альбомы, конструкти</w:t>
            </w:r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вные </w:t>
            </w:r>
            <w:proofErr w:type="spellStart"/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карты</w:t>
            </w:r>
            <w:proofErr w:type="gramStart"/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еобходимые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игр и культурных практик  материалы и инструменты.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старшей и средней группах строительный материал, крупногабаритный модульный, деревянный и пластмассовый, напольный и настольный конструкторы.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Зона  развивающих игр. Дидактические 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детского экспериментирования или опытно –экспериментальной деятельности (уголок природы и исследования). </w:t>
            </w:r>
            <w:proofErr w:type="gram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Оборудование для познавательно-исследовательской деятельности: природный материал – песок, глина, камешки, различные семена и плоды, сыпучие продукты, лупы, ёмкости разной вместимости, ложки, палочки, воронки и др., передники, нарукавники, экологические игры,  наглядный материал, книги о растительном и животном мире, энциклопедии, карты, атласы, глобус.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Комнатные растения  для ознакомления детей в соответствии с возрастом. «Огород на окне» для практической работы в средней и старшей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группахЗона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краеведения: карта Алтайского края, фотоальбомы,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государственная символика, символы города и области, атласы, карты, книги о России, родном городе, энциклопедии.</w:t>
            </w:r>
          </w:p>
          <w:p w:rsidR="008B5419" w:rsidRPr="008B5419" w:rsidRDefault="008B5419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Для занятий по математике имеются кассы счетных материалов, тетради для индивидуальной работы, счётные палочки, наглядные пособия и др.Наборное полотно с буквами, наборы бус, зеркала.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здоровья и спортивных игр оснащен играми, оборудованием для спортивных игр и оздоровительных практик: картотеками практик, пособиями,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катрочками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мешочками, скакалками, флажками, мячами, дидактическими играми и др.</w:t>
            </w:r>
          </w:p>
        </w:tc>
      </w:tr>
    </w:tbl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НАЛИЧИИ БИБЛИОТЕК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Библиотечный фонд представлен детской художественной и методической литературой в соответствии с образовательной программой МКДОУ. Книжный фонд МКДОУ условно разделен на три части: книги для педагогов, родителей (методическая и справочная литература); репродукции картин, иллюстративный материал, дидактические пособия: книги для воспитанников – это: сборники сказок, малых фольклорных форм, познавательной литературы, произведения русских и зарубежных поэтов и писателей, хрестоматии по возрастам, дидактические игры, раскраски, тематические альбомы для рассматривания,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Литература для воспитанников находится в книжных уголках групповых комнат, для взрослых располагается в уголке педагога по разделам: «Физическое развитие», «Социально-коммуникативное развитие», «Художественно-эстетическое развитие», «Речевое развитие», «Познавательное развитие», «Дошкольная педагогика и психология», «Детская литература».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«Периодические издания» находятся в кабинете заведующий.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НАЛИЧИИ ОБЪЕКТОВ СПОРТА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Спортивный зал оснащён оборудованием: крупный спортивный инвентарь (скамейки,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,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разнофактурные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дорожки здоровья, баскетбольные щиты, мелкий спортивный инвентарь: кегли, скакалки, мячи разного размера и фактуры, набивные мячи</w:t>
      </w:r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гимнастические палки, обручи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, гантели, мешочки с песком,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кольцебросы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</w:t>
      </w:r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самокаты, гимнастические ленты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. А также </w:t>
      </w:r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оснащен музыкальным центром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.  В групповых помещениях, в доступных для детей местах, оформлены спортивные зоны, оснащенные 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необходимыми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спортивным инвентарем  для  укрепления и развития физического здоровья детей.  Групповые 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участки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оснащенные малыми формами, спортивным оборудованием.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НАЛИЧИИ СРЕДСТВ ОБУЧЕНИЯ И ВОСПИТАНИЯ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МКДОУ. Являясь компонентом воспитательно-образовательного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lastRenderedPageBreak/>
        <w:t xml:space="preserve"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деятельности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,в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осприятие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7123"/>
      </w:tblGrid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Материально-техническое 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учебно-материальное обеспечение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A336B2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обручи пластмассовые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мячи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разного диаметра, набор кеглей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разнофактурные</w:t>
            </w:r>
            <w:proofErr w:type="spellEnd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дорожки здоровья, баскетб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ольный щит, скамейки для ходьбы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 </w:t>
            </w:r>
            <w:proofErr w:type="spellStart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льцеброс</w:t>
            </w:r>
            <w:proofErr w:type="spellEnd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скакалки детские, канат для перетягиван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ия, флажки разноцветные, ленты.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Наглядное методическое пособие (плакаты, схемы).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Набор демонстрационных картин «Правила дорожного движения»,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 предметных карточек «Транспорт».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 предметных карточек «Профессии», «Символика»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Дидактические пособия, печатные пособия (картины, плакаты).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игрушечной посуды.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парикмахера.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медицинских игровых принадлежностей.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Игровой модуль «Кухня».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Игровой модуль «Парикмахерская».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Природный материал и бросовый материал для ручного труда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Картины, плакаты «Профессии», «Кем быть», Книги, энциклопедии, тематические книги.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Географические карты, атласы, хрестоматии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Учебные приборы ( колбы, песочные часы, компас и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тематических предметных карточек «Посуда», «Овощи», «Деревья», «Дикие и домашние животные», «Птицы», «Мебель», «Бытовые приборы», «Растения», «Грибы», «Ягоды», «Одежда», «Насекомые», «Земноводные».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="00B73D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Муляжи фруктов и овощей, увеличительное стекло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Предметные игрушки-персонажи.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D7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</w:t>
            </w:r>
            <w:r w:rsidR="00B73D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одных промыслов (матрешка, </w:t>
            </w:r>
            <w:proofErr w:type="spellStart"/>
            <w:r w:rsidR="00B73D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дымкА</w:t>
            </w:r>
            <w:proofErr w:type="spellEnd"/>
          </w:p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 набор шумовых музыкальных инструментов (музыкальные колокольчики, бубны, игровые ложки, вертушка, трещотка, барабан,  погремушки), металлофон.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Комплекты костюмов театрализованной деятельности, шапочки для театрализованной деятельности, ширма для кукольного театра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настольная,напольная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игрушки-персонажи, флажки разноцветные, куклы, ёлки искусственные, гирлянды, наборы елочных игрушек, мишура.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 компьютер, ноутбук, музыкальный центр, телевизор.</w:t>
            </w:r>
          </w:p>
        </w:tc>
      </w:tr>
    </w:tbl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ОБ УСЛОВИЯХ ОХРАНЫ ЗДОРОВЬЯ ОБУЧАЮЩИХСЯ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Для решения задач по охране и укреплению здоровья детей, обеспечению физического и психического благополучия, созданию условий для реализации потребности детей в двигательной активности, развитию физических качеств и обеспечению нормаль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softHyphen/>
        <w:t>ного уровня физической подготовленности в соответствии с возможностями и состоянием здоровья ребенка, воспитанию потребности в здоровом образе жизни проводится планомерная работа: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— лечебно-профилактическая работа ( витаминизация,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оксолиновая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мазь;)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утренняя гимнастика и гимнастика после дневного сна;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— гигиенические и закаливающие процедуры (воздушные ванны,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босохождение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использование дорожек здоровья, полоскание рта после приема пищи;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подвижные игры, игры-эстафеты, физкультурные и танцевальные паузы и др.;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соблюдение режима проветривания в группах, музыкальном и спортивном зале;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—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кварцевание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групповых помещений;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система физкультурных занятий во всех возрастных группах;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занятия с детьми по основам безопасности жизнедеятельности;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разнообразная наглядная информация в родительских уголках о здоровом образе жизни, закаливании, здоровом питании и т.д.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Безопасные условия пребывания детей в ДОУ обеспечиваются за счет наличия тревожной кнопки, пожарной сигнализации.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Сведения об обеспеченности методической литературой.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lastRenderedPageBreak/>
        <w:t>Информационная база МКДОУ «Детский сад «Березка» «оснащена электронной почтой, компьютерами, выходом в Интернет, разработан и действует официальный сайт МКДОУ.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ДОУ укомплектовано следующим мультимедийным оборудованием:</w:t>
      </w:r>
    </w:p>
    <w:p w:rsidR="008B5419" w:rsidRPr="008B5419" w:rsidRDefault="008B5419" w:rsidP="008B541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 xml:space="preserve">Персональный компьютер – 2 </w:t>
      </w:r>
      <w:proofErr w:type="spellStart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шт</w:t>
      </w:r>
      <w:proofErr w:type="spellEnd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;</w:t>
      </w:r>
    </w:p>
    <w:p w:rsidR="008B5419" w:rsidRPr="008B5419" w:rsidRDefault="008B5419" w:rsidP="008B541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 xml:space="preserve">Принтер   – 2 </w:t>
      </w:r>
      <w:proofErr w:type="spellStart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шт</w:t>
      </w:r>
      <w:proofErr w:type="spellEnd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;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Arial" w:eastAsia="Times New Roman" w:hAnsi="Arial" w:cs="Arial"/>
          <w:color w:val="0D3F0D"/>
          <w:sz w:val="20"/>
          <w:szCs w:val="20"/>
          <w:lang w:eastAsia="ru-RU"/>
        </w:rPr>
        <w:t>​​</w:t>
      </w:r>
      <w:r w:rsidRPr="008B5419">
        <w:rPr>
          <w:rFonts w:ascii="Verdana" w:eastAsia="Times New Roman" w:hAnsi="Verdana" w:cs="Verdana"/>
          <w:color w:val="0D3F0D"/>
          <w:sz w:val="20"/>
          <w:szCs w:val="20"/>
          <w:lang w:eastAsia="ru-RU"/>
        </w:rPr>
        <w:t>Электронная почта используется для электронного документооборота, сбора и обмена управленческой, статистической информацией.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Компьютерные технологии стали активно использоваться в административной и образовательной деятельности.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Официальный сайт является важнейшим элементом информационной политики образовательной организации, реализации открытости деятельности образовательной организации 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Сотрудники и родители (законные представители) МКДОУ пользуются следующими </w:t>
      </w: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электронно-образовательными ресурсами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:</w:t>
      </w:r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5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ttp://nsportal.ru/vospitalochka-0</w:t>
        </w:r>
      </w:hyperlink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6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http://detsad-kitty.ru/main/26850-prezentaciyachto-delaet-pervobytnaya-semejka-igra.html</w:t>
        </w:r>
      </w:hyperlink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7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http://dochkolenok.ru/</w:t>
        </w:r>
      </w:hyperlink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8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http://www.maam.ru/poleznaja-informacija/sait-dlja-vospitatelei.html</w:t>
        </w:r>
      </w:hyperlink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9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http://nashideto4ki.ru/</w:t>
        </w:r>
      </w:hyperlink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10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http://vospitately.ru/</w:t>
        </w:r>
      </w:hyperlink>
    </w:p>
    <w:p w:rsidR="008B5419" w:rsidRPr="008B5419" w:rsidRDefault="00FF3B5E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11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http://detsadd.narod.ru/</w:t>
        </w:r>
      </w:hyperlink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ОБ УСЛОВИЯХ ПИТАНИЯ</w:t>
      </w:r>
      <w:r w:rsidRPr="008B5419"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  <w:t> </w:t>
      </w:r>
    </w:p>
    <w:p w:rsidR="008B5419" w:rsidRPr="008B5419" w:rsidRDefault="008B5419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Питание осуществляется в соответствии с Примерным цикличным десятидневным меню,  утвержденным заведующим МКДОУ "Детский сад </w:t>
      </w:r>
      <w:r w:rsidR="00B73D7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Теремок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". Подробнее об организации питания в МКДОУ "Детский сад "</w:t>
      </w:r>
      <w:r w:rsidR="00B73D7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Теремок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" можно посмотреть </w:t>
      </w:r>
      <w:hyperlink r:id="rId12" w:tgtFrame="_blank" w:history="1">
        <w:r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здесь</w:t>
        </w:r>
      </w:hyperlink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. </w:t>
      </w:r>
    </w:p>
    <w:p w:rsidR="008B5419" w:rsidRPr="008B5419" w:rsidRDefault="00FF3B5E" w:rsidP="008B5419">
      <w:pPr>
        <w:numPr>
          <w:ilvl w:val="0"/>
          <w:numId w:val="2"/>
        </w:numPr>
        <w:spacing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hyperlink r:id="rId13" w:tgtFrame="_blank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 xml:space="preserve">Положение о </w:t>
        </w:r>
        <w:proofErr w:type="spellStart"/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бракеражной</w:t>
        </w:r>
        <w:proofErr w:type="spellEnd"/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 xml:space="preserve"> комиссии</w:t>
        </w:r>
      </w:hyperlink>
    </w:p>
    <w:p w:rsidR="008B5419" w:rsidRPr="008B5419" w:rsidRDefault="00FF3B5E" w:rsidP="008B5419">
      <w:pPr>
        <w:numPr>
          <w:ilvl w:val="0"/>
          <w:numId w:val="2"/>
        </w:numPr>
        <w:spacing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hyperlink r:id="rId14" w:tgtFrame="_blank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Положение об организации питания воспитанников</w:t>
        </w:r>
      </w:hyperlink>
    </w:p>
    <w:p w:rsidR="008B5419" w:rsidRPr="008B5419" w:rsidRDefault="00FF3B5E" w:rsidP="008B5419">
      <w:pPr>
        <w:numPr>
          <w:ilvl w:val="0"/>
          <w:numId w:val="2"/>
        </w:numPr>
        <w:spacing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hyperlink r:id="rId15" w:tgtFrame="_blank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 xml:space="preserve">Инструкция для членов </w:t>
        </w:r>
        <w:proofErr w:type="spellStart"/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бракеражной</w:t>
        </w:r>
        <w:proofErr w:type="spellEnd"/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 xml:space="preserve"> комиссии по пробе готовых блюд</w:t>
        </w:r>
      </w:hyperlink>
    </w:p>
    <w:p w:rsidR="008B5419" w:rsidRPr="008B5419" w:rsidRDefault="00FF3B5E" w:rsidP="008B5419">
      <w:pPr>
        <w:numPr>
          <w:ilvl w:val="0"/>
          <w:numId w:val="2"/>
        </w:numPr>
        <w:spacing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hyperlink r:id="rId16" w:tgtFrame="_blank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 xml:space="preserve">План работы </w:t>
        </w:r>
        <w:proofErr w:type="spellStart"/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бракеражной</w:t>
        </w:r>
        <w:proofErr w:type="spellEnd"/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 xml:space="preserve"> комиссии МКДОУ "Детский сад "</w:t>
        </w:r>
        <w:r w:rsidR="00B73D79">
          <w:rPr>
            <w:rFonts w:ascii="Verdana" w:eastAsia="Times New Roman" w:hAnsi="Verdana" w:cs="Times New Roman"/>
            <w:color w:val="2ACB2A"/>
            <w:sz w:val="20"/>
            <w:lang w:eastAsia="ru-RU"/>
          </w:rPr>
          <w:t>Теремок</w:t>
        </w:r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"</w:t>
        </w:r>
      </w:hyperlink>
    </w:p>
    <w:p w:rsidR="008B5419" w:rsidRPr="008B5419" w:rsidRDefault="00FF3B5E" w:rsidP="008B5419">
      <w:pPr>
        <w:numPr>
          <w:ilvl w:val="0"/>
          <w:numId w:val="2"/>
        </w:numPr>
        <w:spacing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hyperlink r:id="rId17" w:tgtFrame="_blank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План организации питания</w:t>
        </w:r>
      </w:hyperlink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633CD3" w:rsidRDefault="00633CD3">
      <w:bookmarkStart w:id="0" w:name="_GoBack"/>
      <w:bookmarkEnd w:id="0"/>
    </w:p>
    <w:sectPr w:rsidR="00633CD3" w:rsidSect="0063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F3"/>
    <w:multiLevelType w:val="multilevel"/>
    <w:tmpl w:val="1E24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0261F"/>
    <w:multiLevelType w:val="multilevel"/>
    <w:tmpl w:val="6EB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19"/>
    <w:rsid w:val="004832B2"/>
    <w:rsid w:val="00633CD3"/>
    <w:rsid w:val="008B5419"/>
    <w:rsid w:val="00990CC8"/>
    <w:rsid w:val="00A336B2"/>
    <w:rsid w:val="00B73D79"/>
    <w:rsid w:val="00DC19C7"/>
    <w:rsid w:val="00F22B8D"/>
    <w:rsid w:val="00FF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paragraph" w:styleId="2">
    <w:name w:val="heading 2"/>
    <w:basedOn w:val="a"/>
    <w:link w:val="20"/>
    <w:uiPriority w:val="9"/>
    <w:qFormat/>
    <w:rsid w:val="008B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B5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5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419"/>
    <w:rPr>
      <w:b/>
      <w:bCs/>
    </w:rPr>
  </w:style>
  <w:style w:type="character" w:styleId="a5">
    <w:name w:val="Hyperlink"/>
    <w:basedOn w:val="a0"/>
    <w:uiPriority w:val="99"/>
    <w:semiHidden/>
    <w:unhideWhenUsed/>
    <w:rsid w:val="008B5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poleznaja-informacija/sait-dlja-vospitatelei.html" TargetMode="External"/><Relationship Id="rId13" Type="http://schemas.openxmlformats.org/officeDocument/2006/relationships/hyperlink" Target="http://ds-berezka-znl.edu22.info/images/documents/mat_obespech/%D0%9F%D0%BE%D0%BB%D0%BE%D0%B6%D0%B5%D0%BD%D0%B8%D0%B5_%D0%BE_%D0%B1%D1%80%D0%B0%D0%BA%D0%B5%D1%80%D0%B0%D0%B6%D0%BD%D0%BE%D0%B9_%D0%BA%D0%BE%D0%BC%D0%B8%D1%81%D1%81%D0%B8%D0%B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hkolenok.ru/" TargetMode="External"/><Relationship Id="rId12" Type="http://schemas.openxmlformats.org/officeDocument/2006/relationships/hyperlink" Target="http://ds-berezka-znl.edu22.info/images/documents/mat_obespech/%D0%9F%D0%98%D0%A2%D0%90%D0%9D%D0%98%D0%95_%D0%91%D0%95%D0%A0%D0%95%D0%97%D0%9A%D0%90.pdf" TargetMode="External"/><Relationship Id="rId17" Type="http://schemas.openxmlformats.org/officeDocument/2006/relationships/hyperlink" Target="http://ds-berezka-znl.edu22.info/images/documents/mat_obespech/%D0%BF%D0%BB%D0%B0%D0%BD_%D0%BE%D1%80%D0%B3%D0%B0%D0%BD%D0%B8%D0%B7%D0%B0%D1%86%D0%B8%D0%B8_%D0%BF%D0%B8%D1%82%D0%B0%D0%BD%D0%B8%D1%8F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ds-berezka-znl.edu22.info/images/documents/mat_obespech/%D0%BF%D0%BB%D0%B0%D0%BD_%D0%B1%D1%80%D0%B0%D0%BA%D0%B5%D1%80%D0%B0%D0%B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ad-kitty.ru/main/26850-prezentaciyachto-delaet-pervobytnaya-semejka-igra.html" TargetMode="External"/><Relationship Id="rId11" Type="http://schemas.openxmlformats.org/officeDocument/2006/relationships/hyperlink" Target="http://detsadd.narod.ru/" TargetMode="External"/><Relationship Id="rId5" Type="http://schemas.openxmlformats.org/officeDocument/2006/relationships/hyperlink" Target="http://nsportal.ru/vospitalochka-0" TargetMode="External"/><Relationship Id="rId15" Type="http://schemas.openxmlformats.org/officeDocument/2006/relationships/hyperlink" Target="http://ds-berezka-znl.edu22.info/images/documents/mat_obespech/%D0%91%D1%80%D0%B0%D0%BA%D0%B5%D1%80%D0%B0%D0%B6.jpg" TargetMode="External"/><Relationship Id="rId10" Type="http://schemas.openxmlformats.org/officeDocument/2006/relationships/hyperlink" Target="http://vospitately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shideto4ki.ru/" TargetMode="External"/><Relationship Id="rId14" Type="http://schemas.openxmlformats.org/officeDocument/2006/relationships/hyperlink" Target="http://ds-berezka-znl.edu22.info/images/documents/mat_obespech/%D0%BF%D0%BE%D0%BB%D0%BE%D0%B6%D0%B5%D0%BD%D0%B8%D0%B5_%D0%BE%D0%B1_%D0%BE%D1%80%D0%B3%D0%B0%D0%BD%D0%B8%D0%B7%D0%B0%D1%86%D0%B8%D0%B8_%D0%BF%D0%B8%D1%8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2019-12-24T01:43:00Z</dcterms:created>
  <dcterms:modified xsi:type="dcterms:W3CDTF">2019-12-24T01:43:00Z</dcterms:modified>
</cp:coreProperties>
</file>