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spellStart"/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="002C749A" w:rsidRPr="001543DE">
              <w:rPr>
                <w:szCs w:val="24"/>
              </w:rPr>
              <w:t>культурно-досуговую</w:t>
            </w:r>
            <w:proofErr w:type="spellEnd"/>
            <w:r w:rsidR="002C749A" w:rsidRPr="001543DE">
              <w:rPr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Взаимодействие с другими специалистами в рамках </w:t>
            </w:r>
            <w:proofErr w:type="spellStart"/>
            <w:r w:rsidRPr="001543DE">
              <w:t>психолого-медико-педагогического</w:t>
            </w:r>
            <w:proofErr w:type="spellEnd"/>
            <w:r w:rsidRPr="001543DE">
              <w:t xml:space="preserve">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</w:t>
            </w:r>
            <w:proofErr w:type="spellStart"/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r w:rsidR="005C0B0F" w:rsidRPr="001543DE">
              <w:rPr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</w:t>
            </w:r>
            <w:proofErr w:type="spellStart"/>
            <w:r w:rsidR="00C136A6" w:rsidRPr="001543DE">
              <w:rPr>
                <w:szCs w:val="24"/>
              </w:rPr>
              <w:t>метапредметных</w:t>
            </w:r>
            <w:proofErr w:type="spellEnd"/>
            <w:r w:rsidR="00C136A6" w:rsidRPr="001543DE">
              <w:rPr>
                <w:szCs w:val="24"/>
              </w:rPr>
              <w:t xml:space="preserve">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</w:t>
            </w:r>
            <w:proofErr w:type="spellStart"/>
            <w:r w:rsidR="00B66B67" w:rsidRPr="001543DE">
              <w:rPr>
                <w:szCs w:val="24"/>
              </w:rPr>
              <w:t>метапредметной</w:t>
            </w:r>
            <w:proofErr w:type="spellEnd"/>
            <w:r w:rsidR="00B66B67"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="003F3E4E" w:rsidRPr="001543DE">
              <w:rPr>
                <w:szCs w:val="24"/>
              </w:rPr>
              <w:t>метапредметных</w:t>
            </w:r>
            <w:proofErr w:type="spellEnd"/>
            <w:r w:rsidR="003F3E4E"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="00EE0D93" w:rsidRPr="001543DE">
              <w:rPr>
                <w:szCs w:val="20"/>
              </w:rPr>
              <w:t>мультимедийным</w:t>
            </w:r>
            <w:proofErr w:type="spellEnd"/>
            <w:r w:rsidR="00EE0D93" w:rsidRPr="001543DE">
              <w:rPr>
                <w:szCs w:val="20"/>
              </w:rPr>
              <w:t xml:space="preserve">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</w:t>
            </w:r>
            <w:proofErr w:type="spellStart"/>
            <w:r w:rsidR="00B66B67" w:rsidRPr="001543DE">
              <w:t>компетентностного</w:t>
            </w:r>
            <w:proofErr w:type="spellEnd"/>
            <w:r w:rsidR="00B66B67"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  <w:proofErr w:type="spellEnd"/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proofErr w:type="gramStart"/>
            <w:r w:rsidR="006C2767" w:rsidRPr="001543DE">
              <w:rPr>
                <w:szCs w:val="24"/>
              </w:rPr>
              <w:t>обучающимися</w:t>
            </w:r>
            <w:proofErr w:type="gramEnd"/>
            <w:r w:rsidR="006C2767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spellStart"/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spellEnd"/>
            <w:proofErr w:type="gramEnd"/>
            <w:r w:rsidR="00B43BB7" w:rsidRPr="001543DE">
              <w:rPr>
                <w:szCs w:val="24"/>
              </w:rPr>
              <w:t xml:space="preserve"> и </w:t>
            </w:r>
            <w:proofErr w:type="spellStart"/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spellEnd"/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3D" w:rsidRDefault="0035243D" w:rsidP="0085401D">
      <w:pPr>
        <w:spacing w:line="240" w:lineRule="auto"/>
      </w:pPr>
      <w:r>
        <w:separator/>
      </w:r>
    </w:p>
    <w:p w:rsidR="0035243D" w:rsidRDefault="0035243D"/>
  </w:endnote>
  <w:endnote w:type="continuationSeparator" w:id="0">
    <w:p w:rsidR="0035243D" w:rsidRDefault="0035243D" w:rsidP="0085401D">
      <w:pPr>
        <w:spacing w:line="240" w:lineRule="auto"/>
      </w:pPr>
      <w:r>
        <w:continuationSeparator/>
      </w:r>
    </w:p>
    <w:p w:rsidR="0035243D" w:rsidRDefault="0035243D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FE1F74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3D" w:rsidRDefault="0035243D" w:rsidP="0085401D">
      <w:pPr>
        <w:spacing w:line="240" w:lineRule="auto"/>
      </w:pPr>
      <w:r>
        <w:separator/>
      </w:r>
    </w:p>
    <w:p w:rsidR="0035243D" w:rsidRDefault="0035243D"/>
  </w:footnote>
  <w:footnote w:type="continuationSeparator" w:id="0">
    <w:p w:rsidR="0035243D" w:rsidRDefault="0035243D" w:rsidP="0085401D">
      <w:pPr>
        <w:spacing w:line="240" w:lineRule="auto"/>
      </w:pPr>
      <w:r>
        <w:continuationSeparator/>
      </w:r>
    </w:p>
    <w:p w:rsidR="0035243D" w:rsidRDefault="003524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FE1F74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FE1F74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667B0" w:rsidRPr="006667B0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FE1F74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6667B0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06EA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43D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67B0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4992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1F74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9784D-A1F0-4685-B4CA-8D4A15B5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RePack by SPecialiST</cp:lastModifiedBy>
  <cp:revision>2</cp:revision>
  <cp:lastPrinted>2013-10-21T06:40:00Z</cp:lastPrinted>
  <dcterms:created xsi:type="dcterms:W3CDTF">2014-12-15T09:41:00Z</dcterms:created>
  <dcterms:modified xsi:type="dcterms:W3CDTF">2014-12-15T09:41:00Z</dcterms:modified>
</cp:coreProperties>
</file>